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333A90F7" w:rsidR="00AD0C7B" w:rsidRPr="00EF3FE5" w:rsidRDefault="00375BD7"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891427" w:rsidRPr="005B7B99">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7D3D57D8" w:rsidR="00D3365C" w:rsidRPr="00402AA3" w:rsidRDefault="00375BD7" w:rsidP="00D3365C">
      <w:pPr>
        <w:pStyle w:val="Titul2"/>
        <w:tabs>
          <w:tab w:val="clear" w:pos="6796"/>
        </w:tabs>
        <w:rPr>
          <w:rStyle w:val="ZhlavChar"/>
        </w:rPr>
        <w:sectPr w:rsidR="00D3365C" w:rsidRPr="00402AA3" w:rsidSect="000F4276">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891427">
            <w:rPr>
              <w:szCs w:val="24"/>
            </w:rPr>
            <w:t>Železniční uzel Brno, etapa Černovice</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3158CA9C" w:rsidR="000763BC" w:rsidRPr="00A42A7D" w:rsidRDefault="00A42A7D"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Cs/>
                <w:sz w:val="18"/>
                <w:highlight w:val="cyan"/>
              </w:rPr>
            </w:pPr>
            <w:r w:rsidRPr="00A42A7D">
              <w:rPr>
                <w:bCs/>
                <w:sz w:val="18"/>
              </w:rPr>
              <w:t>Železniční uzel Brno, etapa Černovice</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7E087D95" w:rsidR="000763BC" w:rsidRPr="00C02C9D" w:rsidRDefault="00A42A7D"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A42A7D">
              <w:rPr>
                <w:sz w:val="18"/>
              </w:rPr>
              <w:t>DPS, 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3F0AE812" w:rsidR="000763BC" w:rsidRPr="00C02C9D" w:rsidRDefault="00A42A7D"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42A7D">
              <w:rPr>
                <w:sz w:val="18"/>
              </w:rPr>
              <w:t>S621500580</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4A54A5A2" w:rsidR="0007147F" w:rsidRPr="00C02C9D" w:rsidRDefault="00A42A7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A42A7D">
              <w:rPr>
                <w:highlight w:val="cyan"/>
              </w:rPr>
              <w:br/>
            </w:r>
            <w:r w:rsidRPr="00A42A7D">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D9648CD" w:rsidR="0007147F" w:rsidRPr="00C02C9D" w:rsidRDefault="00A42A7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A42A7D">
              <w:rPr>
                <w:sz w:val="18"/>
              </w:rPr>
              <w:t>Brno město</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57DC9125" w:rsidR="0007147F" w:rsidRPr="00C02C9D" w:rsidRDefault="00A42A7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200 506, 230 2A3, 230 202, 200 504, 230 102, 210 102</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6634091" w:rsidR="0007147F" w:rsidRPr="00C02C9D" w:rsidRDefault="00A42A7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A42A7D">
              <w:rPr>
                <w:sz w:val="18"/>
              </w:rPr>
              <w:t>Jihomoravský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61FEAD67" w:rsidR="0007147F" w:rsidRPr="00C02C9D" w:rsidRDefault="00A42A7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A42A7D"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A42A7D" w:rsidRPr="00C02C9D" w:rsidRDefault="00A42A7D" w:rsidP="00A42A7D">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09B98C5" w:rsidR="00A42A7D" w:rsidRPr="00C02C9D" w:rsidRDefault="00A42A7D" w:rsidP="00A42A7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A42A7D"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A42A7D" w:rsidRPr="00C02C9D" w:rsidRDefault="00A42A7D" w:rsidP="00A42A7D">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3353D598" w:rsidR="00A42A7D" w:rsidRPr="00C02C9D" w:rsidRDefault="00A42A7D" w:rsidP="00A42A7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A42A7D"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A42A7D" w:rsidRPr="00C02C9D" w:rsidRDefault="00A42A7D" w:rsidP="00A42A7D">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5C53129F" w:rsidR="00A42A7D" w:rsidRPr="00C02C9D" w:rsidRDefault="00A42A7D" w:rsidP="00A42A7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w:t>
            </w:r>
          </w:p>
        </w:tc>
      </w:tr>
      <w:tr w:rsidR="00A42A7D"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A42A7D" w:rsidRPr="00C02C9D" w:rsidRDefault="00A42A7D" w:rsidP="00A42A7D">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29E9D222" w:rsidR="00A42A7D" w:rsidRPr="00C02C9D" w:rsidRDefault="00A42A7D" w:rsidP="00A42A7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9A3">
              <w:rPr>
                <w:sz w:val="18"/>
              </w:rPr>
              <w:t>V Celnici 1028/10</w:t>
            </w:r>
            <w:r>
              <w:rPr>
                <w:sz w:val="18"/>
              </w:rPr>
              <w:t xml:space="preserve">, </w:t>
            </w:r>
            <w:r w:rsidRPr="001A69A3">
              <w:rPr>
                <w:sz w:val="18"/>
              </w:rPr>
              <w:t>110 00 Praha 1-Nové Město</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4B9E1437" w14:textId="422C3692" w:rsidR="00E05A67" w:rsidRPr="00E05A67" w:rsidRDefault="00E05A67" w:rsidP="00E05A67">
      <w:pPr>
        <w:ind w:left="709"/>
      </w:pPr>
      <w:bookmarkStart w:id="17" w:name="_Hlk204159936"/>
      <w:r w:rsidRPr="00E05A67">
        <w:t>Hlavním cílem stavby je komplexní přestavba Železničního uzlu Brno dle schváleného Záměru projektu.</w:t>
      </w:r>
      <w:r>
        <w:t xml:space="preserve"> </w:t>
      </w:r>
      <w:r w:rsidRPr="00E05A67">
        <w:t>Koncepce stavby je navržena tak, aby byla zajištěna dostatečná kapacita a spolehlivost pro osobní a nákladní železniční dopravu včetně požadavků na zapojení tratí VRT.</w:t>
      </w:r>
      <w:r>
        <w:t xml:space="preserve"> </w:t>
      </w:r>
      <w:r w:rsidRPr="00E05A67">
        <w:t>Návrh dále řeší splnění aktuálně platných technických předpisů a norem, požadavků cestujících a jejich pohybu v dopravních terminálech.</w:t>
      </w:r>
      <w:r>
        <w:t xml:space="preserve"> </w:t>
      </w:r>
      <w:r w:rsidRPr="00E05A67">
        <w:t>V rámci přestavby celého uzlu vznikne nová stanice osobního nádraží, nový přestupní terminál Černovice a dojde k přiblížení stanice Židenice blíže k tramvajovým zastávkám.</w:t>
      </w:r>
    </w:p>
    <w:p w14:paraId="340492D4" w14:textId="0A7A547B" w:rsidR="003A35F4" w:rsidRDefault="003A35F4" w:rsidP="0082567B">
      <w:pPr>
        <w:ind w:left="709"/>
        <w:rPr>
          <w:highlight w:val="cyan"/>
        </w:rPr>
      </w:pPr>
    </w:p>
    <w:p w14:paraId="7C26C394" w14:textId="0A819594" w:rsidR="00E05A67" w:rsidRPr="00930675" w:rsidRDefault="00E05A67" w:rsidP="00E05A67">
      <w:pPr>
        <w:pStyle w:val="Text2-1"/>
        <w:numPr>
          <w:ilvl w:val="0"/>
          <w:numId w:val="0"/>
        </w:numPr>
        <w:ind w:left="709"/>
        <w:rPr>
          <w:b/>
          <w:bCs/>
        </w:rPr>
      </w:pPr>
      <w:r w:rsidRPr="00E10CD2">
        <w:rPr>
          <w:b/>
          <w:bCs/>
        </w:rPr>
        <w:t xml:space="preserve">Digitální model stavby bude prováděn a vytvářen od stupně PDPS. Ve stupni  DPS se uplatní režim BIM pouze v rozsahu požadavků na sdílení dat a dokumentů v rámci CDE a uplatnění cílů spojených s využití CDE. </w:t>
      </w:r>
    </w:p>
    <w:bookmarkEnd w:id="17"/>
    <w:p w14:paraId="43FA43E8" w14:textId="7629FB4D" w:rsidR="00B259C3" w:rsidRDefault="00B259C3" w:rsidP="0082567B">
      <w:pPr>
        <w:ind w:left="709"/>
        <w:rPr>
          <w:highlight w:val="cyan"/>
        </w:rPr>
      </w:pPr>
    </w:p>
    <w:p w14:paraId="4FDF1A93" w14:textId="5493C505" w:rsidR="00DE1242" w:rsidRPr="00E05A67" w:rsidRDefault="00DE1242" w:rsidP="00BD4B1F">
      <w:pPr>
        <w:spacing w:before="0"/>
        <w:rPr>
          <w:highlight w:val="cyan"/>
        </w:rPr>
      </w:pPr>
      <w:r w:rsidRPr="00E05A67">
        <w:rPr>
          <w:highlight w:val="cyan"/>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27931FD" w:rsidR="0097207A" w:rsidRPr="00C02C9D" w:rsidRDefault="00E05A67"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2BFFB8EC" w14:textId="77777777" w:rsidR="00E05A67" w:rsidRPr="004B1059"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0C6609CF" w14:textId="77777777" w:rsidR="00E05A67" w:rsidRPr="004B1059"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Stavební správa </w:t>
            </w:r>
            <w:r>
              <w:rPr>
                <w:sz w:val="18"/>
              </w:rPr>
              <w:t>vysokorychlostních tratí</w:t>
            </w:r>
          </w:p>
          <w:p w14:paraId="6C3DDE53" w14:textId="77777777" w:rsidR="00375BD7" w:rsidRPr="004B1059"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w:t>
            </w:r>
            <w:r w:rsidRPr="004B1059">
              <w:rPr>
                <w:sz w:val="18"/>
              </w:rPr>
              <w:t xml:space="preserve"> </w:t>
            </w:r>
            <w:r>
              <w:rPr>
                <w:sz w:val="18"/>
              </w:rPr>
              <w:t xml:space="preserve">Barbora Otrubová </w:t>
            </w:r>
          </w:p>
          <w:p w14:paraId="1C86F95C" w14:textId="77777777" w:rsidR="00375BD7" w:rsidRPr="004B1059"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Pr>
                <w:sz w:val="18"/>
              </w:rPr>
              <w:t> 720 800 620</w:t>
            </w:r>
            <w:r w:rsidRPr="004B1059">
              <w:rPr>
                <w:sz w:val="18"/>
              </w:rPr>
              <w:t xml:space="preserve">             </w:t>
            </w:r>
          </w:p>
          <w:p w14:paraId="6797F31A" w14:textId="011904C9" w:rsidR="0097207A" w:rsidRPr="00C02C9D" w:rsidRDefault="00375BD7" w:rsidP="00375BD7">
            <w:pPr>
              <w:spacing w:before="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Pr>
                <w:sz w:val="18"/>
              </w:rPr>
              <w:t>otrubova@spravazeleznic.cz</w:t>
            </w:r>
          </w:p>
        </w:tc>
      </w:tr>
      <w:tr w:rsidR="00E05A6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E05A67" w:rsidRPr="00C02C9D" w:rsidRDefault="00E05A67" w:rsidP="00E05A6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5385D888" w14:textId="77777777" w:rsidR="00E05A67" w:rsidRPr="00EC0553"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50D0AA7A" w14:textId="77777777" w:rsidR="00E05A67" w:rsidRPr="00EC0553"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GŘ - Odbor </w:t>
            </w:r>
            <w:r>
              <w:rPr>
                <w:sz w:val="18"/>
              </w:rPr>
              <w:t>přípravy staveb</w:t>
            </w:r>
            <w:r w:rsidRPr="00EC0553">
              <w:rPr>
                <w:sz w:val="18"/>
              </w:rPr>
              <w:t>,</w:t>
            </w:r>
          </w:p>
          <w:p w14:paraId="7028F8B0" w14:textId="77777777" w:rsidR="00E05A67" w:rsidRPr="00EC0553"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6ED96721" w14:textId="77777777" w:rsidR="00E05A67" w:rsidRPr="00EC0553" w:rsidRDefault="00E05A67" w:rsidP="00E05A6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25564C1C" w:rsidR="00E05A67" w:rsidRPr="00C02C9D" w:rsidRDefault="00E05A67" w:rsidP="00E05A67">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E05A6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E05A67" w:rsidRPr="00C02C9D" w:rsidRDefault="00E05A67" w:rsidP="00E05A6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3E3292E8" w14:textId="77777777" w:rsidR="00375BD7" w:rsidRPr="00EC0553"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Ing. </w:t>
            </w:r>
            <w:r>
              <w:rPr>
                <w:sz w:val="18"/>
              </w:rPr>
              <w:t>Adam Špinar</w:t>
            </w:r>
          </w:p>
          <w:p w14:paraId="353A970A" w14:textId="77777777" w:rsidR="00375BD7" w:rsidRPr="00EC0553"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 xml:space="preserve">SŽ </w:t>
            </w:r>
            <w:proofErr w:type="gramStart"/>
            <w:r w:rsidRPr="00EC0553">
              <w:rPr>
                <w:sz w:val="18"/>
              </w:rPr>
              <w:t>GŘ - Odbor</w:t>
            </w:r>
            <w:proofErr w:type="gramEnd"/>
            <w:r w:rsidRPr="00EC0553">
              <w:rPr>
                <w:sz w:val="18"/>
              </w:rPr>
              <w:t xml:space="preserve"> </w:t>
            </w:r>
            <w:r>
              <w:rPr>
                <w:sz w:val="18"/>
              </w:rPr>
              <w:t>přípravy staveb,</w:t>
            </w:r>
          </w:p>
          <w:p w14:paraId="23C11C6C" w14:textId="77777777" w:rsidR="00375BD7"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426C2125" w14:textId="067A5A54" w:rsidR="00375BD7" w:rsidRPr="00EC0553" w:rsidRDefault="00375BD7" w:rsidP="00375BD7">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Pr>
                <w:sz w:val="18"/>
              </w:rPr>
              <w:t> 724 167 181</w:t>
            </w:r>
          </w:p>
          <w:p w14:paraId="30593C8B" w14:textId="49404DFA" w:rsidR="00E05A67" w:rsidRPr="00C02C9D" w:rsidRDefault="00375BD7" w:rsidP="00375BD7">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 xml:space="preserve">E: </w:t>
            </w:r>
            <w:r>
              <w:rPr>
                <w:sz w:val="18"/>
              </w:rPr>
              <w:t>spinar</w:t>
            </w:r>
            <w:r w:rsidRPr="00EC0553">
              <w:rPr>
                <w:sz w:val="18"/>
              </w:rPr>
              <w:t>@spravazeleznic.cz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5A649CDE" w14:textId="77777777" w:rsidR="00E05A67" w:rsidRDefault="00E05A67" w:rsidP="00E05A67">
      <w:pPr>
        <w:pStyle w:val="Odrka1-1"/>
        <w:numPr>
          <w:ilvl w:val="0"/>
          <w:numId w:val="0"/>
        </w:numPr>
        <w:ind w:left="1077" w:hanging="340"/>
      </w:pPr>
      <w:r>
        <w:t>Základní adresářová struktura dokumentace bude rozdělena na:</w:t>
      </w:r>
    </w:p>
    <w:p w14:paraId="10CE4791" w14:textId="77777777" w:rsidR="00E05A67" w:rsidRPr="00E05A67" w:rsidRDefault="00E05A67" w:rsidP="00170794">
      <w:pPr>
        <w:pStyle w:val="Text2-1"/>
        <w:numPr>
          <w:ilvl w:val="0"/>
          <w:numId w:val="0"/>
        </w:numPr>
        <w:spacing w:before="0" w:after="0"/>
        <w:ind w:left="1418"/>
        <w:rPr>
          <w:b/>
          <w:bCs/>
        </w:rPr>
      </w:pPr>
    </w:p>
    <w:p w14:paraId="4FE08577" w14:textId="07422D3E" w:rsidR="00D85131" w:rsidRPr="00E05A67" w:rsidRDefault="00170794" w:rsidP="00170794">
      <w:pPr>
        <w:pStyle w:val="Text2-1"/>
        <w:numPr>
          <w:ilvl w:val="0"/>
          <w:numId w:val="0"/>
        </w:numPr>
        <w:spacing w:before="0" w:after="0"/>
        <w:ind w:left="1418"/>
        <w:rPr>
          <w:b/>
          <w:bCs/>
        </w:rPr>
      </w:pPr>
      <w:r w:rsidRPr="00E05A67">
        <w:rPr>
          <w:b/>
          <w:bCs/>
        </w:rPr>
        <w:t>4.1</w:t>
      </w:r>
      <w:r w:rsidR="00E05A67" w:rsidRPr="00E05A67">
        <w:rPr>
          <w:b/>
          <w:bCs/>
        </w:rPr>
        <w:t xml:space="preserve"> DPS Železniční uzel Brno, etapa Černovice</w:t>
      </w:r>
    </w:p>
    <w:p w14:paraId="6C39A41E" w14:textId="77777777" w:rsidR="00E05A67" w:rsidRPr="00E05A67" w:rsidRDefault="00E05A67" w:rsidP="00170794">
      <w:pPr>
        <w:pStyle w:val="Text2-1"/>
        <w:numPr>
          <w:ilvl w:val="0"/>
          <w:numId w:val="0"/>
        </w:numPr>
        <w:spacing w:before="0" w:after="0"/>
        <w:ind w:left="1418"/>
        <w:rPr>
          <w:b/>
          <w:bCs/>
          <w:highlight w:val="cyan"/>
        </w:rPr>
      </w:pPr>
    </w:p>
    <w:p w14:paraId="2C4A7D06" w14:textId="4F7D11DE" w:rsidR="00D85131" w:rsidRPr="00E05A67" w:rsidRDefault="00170794" w:rsidP="00170794">
      <w:pPr>
        <w:pStyle w:val="Text2-1"/>
        <w:numPr>
          <w:ilvl w:val="0"/>
          <w:numId w:val="0"/>
        </w:numPr>
        <w:spacing w:before="0" w:after="0"/>
        <w:ind w:left="1418"/>
        <w:rPr>
          <w:b/>
          <w:bCs/>
        </w:rPr>
      </w:pPr>
      <w:r w:rsidRPr="00E05A67">
        <w:rPr>
          <w:b/>
          <w:bCs/>
        </w:rPr>
        <w:t>4.2</w:t>
      </w:r>
      <w:r w:rsidR="00E05A67" w:rsidRPr="00E05A67">
        <w:rPr>
          <w:b/>
          <w:bCs/>
        </w:rPr>
        <w:t xml:space="preserve"> PDPS Železniční uzel Brno, etapa Černovice</w:t>
      </w: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8"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782AC8">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r w:rsidR="00333D84">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4A5BB36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7A0201">
        <w:t xml:space="preserve"> I0.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7E15D87"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 xml:space="preserve">Číslo </w:t>
      </w:r>
      <w:r w:rsidR="00705117">
        <w:t>PS</w:t>
      </w:r>
      <w:r w:rsidR="005463AC">
        <w:t>/SO/IO,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9386" w14:textId="77777777" w:rsidR="00DC2124" w:rsidRDefault="00DC2124" w:rsidP="00962258">
      <w:r>
        <w:separator/>
      </w:r>
    </w:p>
  </w:endnote>
  <w:endnote w:type="continuationSeparator" w:id="0">
    <w:p w14:paraId="4B8E3E96" w14:textId="77777777" w:rsidR="00DC2124" w:rsidRDefault="00DC2124" w:rsidP="00962258">
      <w:r>
        <w:continuationSeparator/>
      </w:r>
    </w:p>
  </w:endnote>
  <w:endnote w:type="continuationNotice" w:id="1">
    <w:p w14:paraId="503D2522"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54F749B0"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5BD7">
            <w:rPr>
              <w:rStyle w:val="slostrnky"/>
              <w:noProof/>
            </w:rPr>
            <w:t>27</w:t>
          </w:r>
          <w:r>
            <w:rPr>
              <w:rStyle w:val="slostrnky"/>
            </w:rPr>
            <w:fldChar w:fldCharType="end"/>
          </w:r>
        </w:p>
      </w:tc>
      <w:tc>
        <w:tcPr>
          <w:tcW w:w="7739" w:type="dxa"/>
          <w:vAlign w:val="bottom"/>
        </w:tcPr>
        <w:p w14:paraId="5B22E4B7" w14:textId="3E6FE7DB" w:rsidR="00D3365C" w:rsidRPr="003462EB" w:rsidRDefault="00375BD7"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891427">
                <w:t>Železniční uzel Brno, etapa Černovice</w:t>
              </w:r>
            </w:sdtContent>
          </w:sdt>
        </w:p>
        <w:p w14:paraId="6397A244" w14:textId="102EED85" w:rsidR="00D3365C" w:rsidRPr="00B435A5" w:rsidRDefault="00375BD7"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891427">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3C185446" w:rsidR="00D3365C" w:rsidRPr="003462EB" w:rsidRDefault="00375BD7"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891427">
                <w:t>Železniční uzel Brno, etapa Černovice</w:t>
              </w:r>
            </w:sdtContent>
          </w:sdt>
        </w:p>
        <w:p w14:paraId="0F3B3BE5" w14:textId="7A275624" w:rsidR="00D3365C" w:rsidRPr="003462EB" w:rsidRDefault="00375BD7"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891427">
                <w:rPr>
                  <w:b/>
                  <w:bCs/>
                  <w:color w:val="FF5200" w:themeColor="accent2"/>
                  <w:sz w:val="14"/>
                  <w:szCs w:val="12"/>
                </w:rPr>
                <w:t>Požadavky na výměnu informací (EIR)</w:t>
              </w:r>
            </w:sdtContent>
          </w:sdt>
        </w:p>
      </w:tc>
      <w:tc>
        <w:tcPr>
          <w:tcW w:w="935" w:type="dxa"/>
          <w:vAlign w:val="bottom"/>
        </w:tcPr>
        <w:p w14:paraId="6E757FCE" w14:textId="2CB6EED4"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5BD7">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6913C7D5"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02AA3" w:rsidRPr="00402AA3">
      <w:rPr>
        <w:sz w:val="22"/>
        <w:szCs w:val="22"/>
      </w:rPr>
      <w:t>21.7.2025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6D1CC" w14:textId="77777777" w:rsidR="00DC2124" w:rsidRDefault="00DC2124" w:rsidP="00962258">
      <w:r>
        <w:separator/>
      </w:r>
    </w:p>
  </w:footnote>
  <w:footnote w:type="continuationSeparator" w:id="0">
    <w:p w14:paraId="4DA95B67" w14:textId="77777777" w:rsidR="00DC2124" w:rsidRDefault="00DC2124" w:rsidP="00962258">
      <w:r>
        <w:continuationSeparator/>
      </w:r>
    </w:p>
  </w:footnote>
  <w:footnote w:type="continuationNotice" w:id="1">
    <w:p w14:paraId="10EFCFE8"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ADC" w14:textId="77777777" w:rsidR="00402AA3" w:rsidRDefault="00402A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9BB6B" w14:textId="77777777" w:rsidR="00402AA3" w:rsidRDefault="00402A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D56"/>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6C"/>
    <w:rsid w:val="000C2177"/>
    <w:rsid w:val="000C2CF7"/>
    <w:rsid w:val="000C35E8"/>
    <w:rsid w:val="000C41B6"/>
    <w:rsid w:val="000C41F2"/>
    <w:rsid w:val="000C444E"/>
    <w:rsid w:val="000C4A6A"/>
    <w:rsid w:val="000C57B5"/>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A54"/>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DE0"/>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37F8C"/>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5BD7"/>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011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2AA3"/>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58C"/>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9F9"/>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8DF"/>
    <w:rsid w:val="00704BAE"/>
    <w:rsid w:val="00705117"/>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262F1"/>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AC8"/>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0201"/>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1427"/>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A0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72F"/>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A7D"/>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09"/>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468D"/>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66B1"/>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295"/>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A67"/>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490"/>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334A"/>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3C064259-1831-4C3B-A9B9-BD2920DE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05804862">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667855894">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A37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549F9"/>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B472F"/>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8471A"/>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A4D63"/>
    <w:rsid w:val="00EB1009"/>
    <w:rsid w:val="00EB247E"/>
    <w:rsid w:val="00EB268F"/>
    <w:rsid w:val="00EF763A"/>
    <w:rsid w:val="00F3359A"/>
    <w:rsid w:val="00F37E07"/>
    <w:rsid w:val="00F46CFF"/>
    <w:rsid w:val="00F767AB"/>
    <w:rsid w:val="00F77490"/>
    <w:rsid w:val="00FA127D"/>
    <w:rsid w:val="00FC334A"/>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7B31487F46E3043BDABB0E72297AC3B" ma:contentTypeVersion="3" ma:contentTypeDescription="Vytvoří nový dokument" ma:contentTypeScope="" ma:versionID="7a45d8c7c629b2716ff3282db2a1edd8">
  <xsd:schema xmlns:xsd="http://www.w3.org/2001/XMLSchema" xmlns:xs="http://www.w3.org/2001/XMLSchema" xmlns:p="http://schemas.microsoft.com/office/2006/metadata/properties" xmlns:ns2="ac41710b-ae93-43cc-9773-2f1cca013e40" targetNamespace="http://schemas.microsoft.com/office/2006/metadata/properties" ma:root="true" ma:fieldsID="13fbb744aa797107bcf98bfc9c97e419" ns2:_="">
    <xsd:import namespace="ac41710b-ae93-43cc-9773-2f1cca013e4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41710b-ae93-43cc-9773-2f1cca013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ADC8D82C-6764-4E56-950A-5F6B9E018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41710b-ae93-43cc-9773-2f1cca013e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Normal.dotm</Template>
  <TotalTime>37</TotalTime>
  <Pages>29</Pages>
  <Words>9550</Words>
  <Characters>56346</Characters>
  <Application>Microsoft Office Word</Application>
  <DocSecurity>2</DocSecurity>
  <Lines>469</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Železniční uzel Brno, etapa Černovice</dc:subject>
  <dc:creator>Správa železnic</dc:creator>
  <cp:keywords>2024-10</cp:keywords>
  <dc:description/>
  <cp:lastModifiedBy>Šafář Karel, Ing.</cp:lastModifiedBy>
  <cp:revision>6</cp:revision>
  <cp:lastPrinted>2021-08-25T08:31:00Z</cp:lastPrinted>
  <dcterms:created xsi:type="dcterms:W3CDTF">2024-10-18T14:00:00Z</dcterms:created>
  <dcterms:modified xsi:type="dcterms:W3CDTF">2025-07-24T05:18:00Z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0x010100C7B31487F46E3043BDABB0E72297AC3B</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